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8DB143" w14:textId="6E410F2A" w:rsidR="00BC2081" w:rsidRPr="00D2584B" w:rsidRDefault="00D2584B">
      <w:pPr>
        <w:rPr>
          <w:b/>
          <w:bCs/>
          <w:lang w:val="en-US"/>
        </w:rPr>
      </w:pPr>
      <w:r w:rsidRPr="00D2584B">
        <w:rPr>
          <w:b/>
          <w:bCs/>
          <w:lang w:val="en-US"/>
        </w:rPr>
        <w:t>Supplementary Figures</w:t>
      </w:r>
    </w:p>
    <w:p w14:paraId="156DE904" w14:textId="2FD0D3A2" w:rsidR="00D2584B" w:rsidRDefault="00D2584B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953BC13" wp14:editId="349690E6">
            <wp:extent cx="6858000" cy="7668895"/>
            <wp:effectExtent l="0" t="0" r="0" b="1905"/>
            <wp:docPr id="11108863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886352" name="Picture 111088635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66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6D7F5" w14:textId="06D5B095" w:rsidR="00D2584B" w:rsidRDefault="00D2584B" w:rsidP="00D2584B">
      <w:pPr>
        <w:jc w:val="both"/>
        <w:rPr>
          <w:lang w:val="en-US"/>
        </w:rPr>
      </w:pPr>
      <w:r w:rsidRPr="00D2584B">
        <w:rPr>
          <w:b/>
          <w:bCs/>
          <w:lang w:val="en-US"/>
        </w:rPr>
        <w:t>Supplementary Figure 1</w:t>
      </w:r>
      <w:r>
        <w:rPr>
          <w:lang w:val="en-US"/>
        </w:rPr>
        <w:t xml:space="preserve">: Number of GWAS participants by year. General (top) and cardiovascular (bottom) GWAS participants are displayed cumulatively by year. Total numbers are displayed in the legend of each plot. </w:t>
      </w:r>
    </w:p>
    <w:p w14:paraId="51CD1FA7" w14:textId="77777777" w:rsidR="00D2584B" w:rsidRDefault="00D2584B" w:rsidP="00D2584B">
      <w:pPr>
        <w:jc w:val="both"/>
        <w:rPr>
          <w:lang w:val="en-US"/>
        </w:rPr>
      </w:pPr>
    </w:p>
    <w:p w14:paraId="654EDEA7" w14:textId="70C20BA4" w:rsidR="00D2584B" w:rsidRDefault="00D2584B" w:rsidP="00D2584B">
      <w:pPr>
        <w:jc w:val="both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F459421" wp14:editId="11B1670D">
            <wp:extent cx="6858000" cy="5161915"/>
            <wp:effectExtent l="0" t="0" r="0" b="0"/>
            <wp:docPr id="14680286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028685" name="Picture 146802868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6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143D8" w14:textId="52AEBAC0" w:rsidR="00D2584B" w:rsidRPr="00D2584B" w:rsidRDefault="00D2584B" w:rsidP="00D2584B">
      <w:pPr>
        <w:jc w:val="both"/>
        <w:rPr>
          <w:lang w:val="en-US"/>
        </w:rPr>
      </w:pPr>
      <w:r w:rsidRPr="00D2584B">
        <w:rPr>
          <w:b/>
          <w:bCs/>
          <w:lang w:val="en-US"/>
        </w:rPr>
        <w:t>Supplementary Figure 2</w:t>
      </w:r>
      <w:r>
        <w:rPr>
          <w:lang w:val="en-US"/>
        </w:rPr>
        <w:t xml:space="preserve">: Population-specific cardiac </w:t>
      </w:r>
      <w:proofErr w:type="spellStart"/>
      <w:r>
        <w:rPr>
          <w:lang w:val="en-US"/>
        </w:rPr>
        <w:t>eQTL</w:t>
      </w:r>
      <w:proofErr w:type="spellEnd"/>
      <w:r>
        <w:rPr>
          <w:lang w:val="en-US"/>
        </w:rPr>
        <w:t xml:space="preserve"> analysis. Each dot represents a unique SNP-gene pair in </w:t>
      </w:r>
      <w:proofErr w:type="spellStart"/>
      <w:r>
        <w:rPr>
          <w:lang w:val="en-US"/>
        </w:rPr>
        <w:t>eQTL</w:t>
      </w:r>
      <w:proofErr w:type="spellEnd"/>
      <w:r>
        <w:rPr>
          <w:lang w:val="en-US"/>
        </w:rPr>
        <w:t xml:space="preserve"> in cardiac tissue (heart left ventricle and atrial appendage). Cardiac </w:t>
      </w:r>
      <w:proofErr w:type="spellStart"/>
      <w:r>
        <w:rPr>
          <w:lang w:val="en-US"/>
        </w:rPr>
        <w:t>eQTL</w:t>
      </w:r>
      <w:proofErr w:type="spellEnd"/>
      <w:r>
        <w:rPr>
          <w:lang w:val="en-US"/>
        </w:rPr>
        <w:t xml:space="preserve"> analysis was performed separately in each population LD block. Genes </w:t>
      </w:r>
      <w:proofErr w:type="gramStart"/>
      <w:r>
        <w:rPr>
          <w:lang w:val="en-US"/>
        </w:rPr>
        <w:t>not present</w:t>
      </w:r>
      <w:proofErr w:type="gramEnd"/>
      <w:r>
        <w:rPr>
          <w:lang w:val="en-US"/>
        </w:rPr>
        <w:t xml:space="preserve"> in African blocks are highlighted in red. Ancestry-specific genes are highlighted in </w:t>
      </w:r>
      <w:proofErr w:type="spellStart"/>
      <w:r>
        <w:rPr>
          <w:lang w:val="en-US"/>
        </w:rPr>
        <w:t>gree</w:t>
      </w:r>
      <w:proofErr w:type="spellEnd"/>
      <w:r>
        <w:rPr>
          <w:lang w:val="en-US"/>
        </w:rPr>
        <w:t xml:space="preserve">. </w:t>
      </w:r>
    </w:p>
    <w:sectPr w:rsidR="00D2584B" w:rsidRPr="00D2584B" w:rsidSect="00D2584B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584B"/>
    <w:rsid w:val="002904FB"/>
    <w:rsid w:val="00306022"/>
    <w:rsid w:val="005354C4"/>
    <w:rsid w:val="00B33F2C"/>
    <w:rsid w:val="00BB375A"/>
    <w:rsid w:val="00BC2081"/>
    <w:rsid w:val="00C11BF4"/>
    <w:rsid w:val="00CF445D"/>
    <w:rsid w:val="00D2584B"/>
    <w:rsid w:val="00E53961"/>
    <w:rsid w:val="00FC1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F611529"/>
  <w15:chartTrackingRefBased/>
  <w15:docId w15:val="{1584B7D1-8D65-D748-BA56-CC42179CA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2584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2584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2584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2584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2584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2584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2584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584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584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584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2584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2584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2584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2584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2584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2584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584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584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2584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2584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2584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2584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2584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2584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2584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2584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2584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2584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2584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90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Edwin Pena</dc:creator>
  <cp:keywords/>
  <dc:description/>
  <cp:lastModifiedBy>Edwin Pena</cp:lastModifiedBy>
  <cp:revision>1</cp:revision>
  <dcterms:created xsi:type="dcterms:W3CDTF">2025-06-14T20:59:00Z</dcterms:created>
  <dcterms:modified xsi:type="dcterms:W3CDTF">2025-06-14T21:05:00Z</dcterms:modified>
</cp:coreProperties>
</file>